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12"/>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MINISTERIUM FÜR BILDUNG UND WISSENSCHAFT RUSSLANDS</w:t>
      </w:r>
    </w:p>
    <w:p>
      <w:pPr>
        <w:spacing w:before="0" w:after="0" w:line="312"/>
        <w:ind w:right="0" w:left="0" w:firstLine="0"/>
        <w:jc w:val="center"/>
        <w:rPr>
          <w:rFonts w:ascii="Times New Roman" w:hAnsi="Times New Roman" w:cs="Times New Roman" w:eastAsia="Times New Roman"/>
          <w:color w:val="auto"/>
          <w:spacing w:val="0"/>
          <w:position w:val="0"/>
          <w:sz w:val="28"/>
          <w:shd w:fill="auto" w:val="clear"/>
        </w:rPr>
      </w:pPr>
      <w:r>
        <w:object w:dxaOrig="925" w:dyaOrig="997">
          <v:rect xmlns:o="urn:schemas-microsoft-com:office:office" xmlns:v="urn:schemas-microsoft-com:vml" id="rectole0000000000" style="width:46.250000pt;height:49.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12"/>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Staatliche Ulyanov-(Lenin-)Universität</w:t>
      </w:r>
    </w:p>
    <w:p>
      <w:pPr>
        <w:spacing w:before="0" w:after="0" w:line="312"/>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für Elektrotechnik, Sankt Petersburg (LETI)</w:t>
      </w:r>
    </w:p>
    <w:p>
      <w:pPr>
        <w:spacing w:before="0" w:after="0" w:line="312"/>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"Wissenschafts- und Produktionsunternehmen "AVERS" (NPK "AVERS")</w:t>
      </w: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SCHWACHE UND SUPERSCHWACHE WIRKUNGEN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 NANOTECHNOLOGIE, BIOLOGIE</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UND MEDIZIN</w:t>
      </w: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40"/>
          <w:shd w:fill="auto" w:val="clear"/>
        </w:rPr>
      </w:pPr>
    </w:p>
    <w:p>
      <w:pPr>
        <w:spacing w:before="0" w:after="0" w:line="288"/>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Izhevsk,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Udmurtia“, 2016</w:t>
      </w:r>
    </w:p>
    <w:p>
      <w:pPr>
        <w:spacing w:before="0" w:after="0" w:line="288"/>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714"/>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UDK 546.562; 537.312</w:t>
      </w: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BBK 24.5</w:t>
      </w:r>
    </w:p>
    <w:p>
      <w:pPr>
        <w:tabs>
          <w:tab w:val="left" w:pos="1260" w:leader="none"/>
        </w:tabs>
        <w:spacing w:before="0" w:after="0" w:line="288"/>
        <w:ind w:right="0" w:left="0" w:firstLine="7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G78</w:t>
      </w: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Gutachter: </w:t>
      </w:r>
    </w:p>
    <w:p>
      <w:pPr>
        <w:spacing w:before="0" w:after="0" w:line="288"/>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Zarembo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V. I.</w:t>
      </w:r>
      <w:r>
        <w:rPr>
          <w:rFonts w:ascii="Times New Roman" w:hAnsi="Times New Roman" w:cs="Times New Roman" w:eastAsia="Times New Roman"/>
          <w:color w:val="auto"/>
          <w:spacing w:val="0"/>
          <w:position w:val="0"/>
          <w:sz w:val="24"/>
          <w:shd w:fill="auto" w:val="clear"/>
        </w:rPr>
        <w:t xml:space="preserve"> (Staatliche Hochschule für Technologie (Technische Universität) Sankt Petersburg), Doktor der chemischen Wissenschaften, Professor; </w:t>
      </w:r>
      <w:r>
        <w:rPr>
          <w:rFonts w:ascii="Times New Roman" w:hAnsi="Times New Roman" w:cs="Times New Roman" w:eastAsia="Times New Roman"/>
          <w:i/>
          <w:color w:val="auto"/>
          <w:spacing w:val="0"/>
          <w:position w:val="0"/>
          <w:sz w:val="24"/>
          <w:shd w:fill="auto" w:val="clear"/>
        </w:rPr>
        <w:t xml:space="preserve">Starobinets I.M. </w:t>
      </w:r>
      <w:r>
        <w:rPr>
          <w:rFonts w:ascii="Times New Roman" w:hAnsi="Times New Roman" w:cs="Times New Roman" w:eastAsia="Times New Roman"/>
          <w:color w:val="auto"/>
          <w:spacing w:val="0"/>
          <w:position w:val="0"/>
          <w:sz w:val="24"/>
          <w:shd w:fill="auto" w:val="clear"/>
        </w:rPr>
        <w:t xml:space="preserve">(OAO Vodtranspribor), Kandidat der technischen Wissenschaften, Lehrstuhl für Sensorik der Nationalen Forschungsuniversität für Informationstechnologien, Mechanik und Optik, Sankt Petersburg (</w:t>
      </w:r>
      <w:r>
        <w:rPr>
          <w:rFonts w:ascii="Times New Roman" w:hAnsi="Times New Roman" w:cs="Times New Roman" w:eastAsia="Times New Roman"/>
          <w:i/>
          <w:color w:val="auto"/>
          <w:spacing w:val="0"/>
          <w:position w:val="0"/>
          <w:sz w:val="24"/>
          <w:shd w:fill="auto" w:val="clear"/>
        </w:rPr>
        <w:t xml:space="preserve">Lukyanov G.N.</w:t>
      </w:r>
      <w:r>
        <w:rPr>
          <w:rFonts w:ascii="Times New Roman" w:hAnsi="Times New Roman" w:cs="Times New Roman" w:eastAsia="Times New Roman"/>
          <w:color w:val="auto"/>
          <w:spacing w:val="0"/>
          <w:position w:val="0"/>
          <w:sz w:val="24"/>
          <w:shd w:fill="auto" w:val="clear"/>
        </w:rPr>
        <w:t xml:space="preserve">, Doktor der technischen Wissenschaften, Professor)</w:t>
      </w: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Zeichen der Informationsproduktion 12+</w:t>
      </w:r>
    </w:p>
    <w:p>
      <w:pPr>
        <w:spacing w:before="0" w:after="0" w:line="288"/>
        <w:ind w:right="0" w:left="0" w:firstLine="714"/>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71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Grachev V. I.,  Margolin V. I.,  Tupik  V. A.</w:t>
      </w:r>
    </w:p>
    <w:p>
      <w:pPr>
        <w:spacing w:before="0" w:after="0" w:line="288"/>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G78</w:t>
        <w:tab/>
        <w:t xml:space="preserve">Schwache und superschwache Wirkungen in Nanotechnologie, Biologie und Medizin.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Izhevsk, Udmurtia,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306 S. </w:t>
      </w:r>
    </w:p>
    <w:p>
      <w:pPr>
        <w:spacing w:before="120" w:after="120" w:line="288"/>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978-5-7659-0822-8</w:t>
      </w:r>
    </w:p>
    <w:p>
      <w:pPr>
        <w:spacing w:before="120" w:after="120" w:line="288"/>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88"/>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Die Monographie behandelt Fragen des Einflusses von schwachen elektromagnetischen Feldern, Strömen, inkohärenter elektromagnetischer Strahlung und von Erscheinungen der photomechanischen Memory sowie Interferenzeffekte von komplizierten Beugungsgittern bei deren Einwirkung auf Prozesse in der Nanotechnologie und auf biologische Objekte. Als physikalische Felder werden konstante, variable und Impulsmagnet-, elektrische, akustische und elektromagnetische Felder betrachtet. Besondere Aufmerksamkeit wird dem Einfluss von strukturierten elektromagnetischen Feldern auf die Syntheseprozesse von Schichtstrukturen auf Grundlage der Selbstorganisation gewidmet. </w:t>
      </w:r>
    </w:p>
    <w:p>
      <w:pPr>
        <w:spacing w:before="0" w:after="0" w:line="288"/>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 wird erstmals der Wirkungsmechanismus inkohärenter elektromagnetischer Strahlung aus dem sichtbaren Bereich des Sonnenlichts auf Pflanzen- und Tierzellen und auf tierische und menschliche Gewebe und Organe detailliert beschrieben. Es werden die Gesetze der photobiologischen Umwandlungen und die Anwendungsperspektiven für die Spektren des sichtbaren Lichts in der zukünftigen Medizin dargelegt.</w:t>
      </w:r>
    </w:p>
    <w:p>
      <w:pPr>
        <w:spacing w:before="0" w:after="0" w:line="288"/>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Für Lehrpersonal, Doktoranden, höhersemestrige Studenten, Diplomanden sowie Ingenieure und Fachleute in den Bereichen der theoretischen und praktischen Nanotechnologie, Biologie und Medizin.</w:t>
      </w:r>
    </w:p>
    <w:p>
      <w:pPr>
        <w:spacing w:before="0" w:after="0" w:line="288"/>
        <w:ind w:right="0" w:left="0" w:firstLine="567"/>
        <w:jc w:val="both"/>
        <w:rPr>
          <w:rFonts w:ascii="Times New Roman" w:hAnsi="Times New Roman" w:cs="Times New Roman" w:eastAsia="Times New Roman"/>
          <w:color w:val="auto"/>
          <w:spacing w:val="0"/>
          <w:position w:val="0"/>
          <w:sz w:val="20"/>
          <w:shd w:fill="auto" w:val="clear"/>
        </w:rPr>
      </w:pPr>
    </w:p>
    <w:p>
      <w:pPr>
        <w:spacing w:before="0" w:after="0" w:line="288"/>
        <w:ind w:right="0" w:left="0" w:firstLine="714"/>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UDK 546.562; 537.312</w:t>
      </w:r>
    </w:p>
    <w:p>
      <w:pPr>
        <w:spacing w:before="0" w:after="0" w:line="288"/>
        <w:ind w:right="0" w:left="0" w:firstLine="714"/>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BBK 24.5</w:t>
      </w:r>
    </w:p>
    <w:p>
      <w:pPr>
        <w:spacing w:before="120" w:after="120" w:line="288"/>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ISBN 978-5-7659-0822-8</w:t>
      </w: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Grachev V. I., Margolin, Tupik V. A., 2016</w:t>
      </w: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Verlag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Udmurtia“, 2016</w:t>
      </w: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Inhalt</w:t>
      </w:r>
    </w:p>
    <w:p>
      <w:pPr>
        <w:tabs>
          <w:tab w:val="right" w:pos="9356" w:leader="dot"/>
        </w:tabs>
        <w:spacing w:before="0" w:after="0" w:line="283"/>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Einleitung</w:t>
      </w:r>
      <w:r>
        <w:rPr>
          <w:rFonts w:ascii="Times New Roman" w:hAnsi="Times New Roman" w:cs="Times New Roman" w:eastAsia="Times New Roman"/>
          <w:color w:val="auto"/>
          <w:spacing w:val="0"/>
          <w:position w:val="0"/>
          <w:sz w:val="28"/>
          <w:shd w:fill="auto" w:val="clear"/>
        </w:rPr>
        <w:tab/>
        <w:t xml:space="preserve">5</w:t>
      </w:r>
    </w:p>
    <w:p>
      <w:pPr>
        <w:tabs>
          <w:tab w:val="right" w:pos="9356" w:leader="dot"/>
        </w:tabs>
        <w:spacing w:before="0" w:after="0" w:line="283"/>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Kapitel 1. Allgemeine Vorstellungen schwacher Wirkungen</w:t>
      </w:r>
      <w:r>
        <w:rPr>
          <w:rFonts w:ascii="Times New Roman" w:hAnsi="Times New Roman" w:cs="Times New Roman" w:eastAsia="Times New Roman"/>
          <w:color w:val="auto"/>
          <w:spacing w:val="0"/>
          <w:position w:val="0"/>
          <w:sz w:val="28"/>
          <w:shd w:fill="auto" w:val="clear"/>
        </w:rPr>
        <w:tab/>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Einführung</w:t>
        <w:tab/>
        <w:t xml:space="preserve">11</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Analyse einiger Fragen der Resonanzwirkung </w:t>
        <w:br/>
        <w:t xml:space="preserve">auf die stoffliche Struktur</w:t>
        <w:tab/>
        <w:t xml:space="preserve">13</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Dissipative Resonanz</w:t>
        <w:tab/>
        <w:t xml:space="preserve">14</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Stochastische Resonanz</w:t>
        <w:tab/>
        <w:t xml:space="preserve">15</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Elektromagnetisch-akustische Umwandlung</w:t>
        <w:tab/>
        <w:t xml:space="preserve">17</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Nichtlineare Prozesse</w:t>
        <w:tab/>
        <w:t xml:space="preserve">22</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Wirkungen elektromagnetischer Felder geringer Intensität im</w:t>
        <w:br/>
        <w:t xml:space="preserve">Millimeterbereich</w:t>
        <w:tab/>
        <w:t xml:space="preserve">24</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Resonanzerscheinungen in Verbindung mit dem fraktalen Ansatz</w:t>
        <w:tab/>
        <w:t xml:space="preserve">24</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Schwankungsvorgänge und ihr Einfluss auf den Mechanismus</w:t>
        <w:br/>
        <w:t xml:space="preserve">schwacher Wirkungen</w:t>
        <w:tab/>
        <w:t xml:space="preserve">30</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Literatur zur Einleitung und zu Kapitel 1</w:t>
        <w:tab/>
        <w:t xml:space="preserve">40</w:t>
      </w:r>
    </w:p>
    <w:p>
      <w:pPr>
        <w:tabs>
          <w:tab w:val="right" w:pos="9356" w:leader="dot"/>
        </w:tabs>
        <w:spacing w:before="0" w:after="0" w:line="283"/>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Kapitel 2. Einfluss schwacher Wirkungen auf das Wassermatrixsystem</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Moderne Vorstellungen über das Wasser, die Wasserstruktur </w:t>
        <w:br/>
        <w:t xml:space="preserve">und die Wassermatrix</w:t>
        <w:tab/>
        <w:t xml:space="preserve">50</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Strukturmerkmale des Wassers und der Wassermatrix</w:t>
        <w:tab/>
        <w:t xml:space="preserve">75</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Schwache Wirkungen auf die Struktur der Wassermatrix</w:t>
        <w:tab/>
        <w:t xml:space="preserve">96</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Mechanismen der schwachen Wirkung auf die Wassermatrix</w:t>
        <w:tab/>
        <w:t xml:space="preserve">113</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Literatur zu Kapitel 2</w:t>
        <w:tab/>
        <w:t xml:space="preserve">121</w:t>
      </w:r>
    </w:p>
    <w:p>
      <w:pPr>
        <w:tabs>
          <w:tab w:val="right" w:pos="9356" w:leader="dot"/>
        </w:tabs>
        <w:spacing w:before="0" w:after="0" w:line="283"/>
        <w:ind w:right="0" w:left="0" w:hanging="11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Kapitel 3. Schwache Wirkungen elektromagnetischer Strahlung </w:t>
        <w:br/>
        <w:t xml:space="preserve">auf natürliche und technogene Strukturen und Prozesse</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Das elektromagnetische Feld als schwaches Agens</w:t>
        <w:tab/>
        <w:t xml:space="preserve">129</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Wirkung schwacher elektromagnetischer Felder auf den Stoff</w:t>
        <w:tab/>
        <w:t xml:space="preserve">132</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4"/>
          <w:position w:val="0"/>
          <w:sz w:val="28"/>
          <w:shd w:fill="auto" w:val="clear"/>
        </w:rPr>
        <w:t xml:space="preserve">Informationswirkung eines schwachen elektromagnetischen Feldes</w:t>
      </w:r>
      <w:r>
        <w:rPr>
          <w:rFonts w:ascii="Times New Roman" w:hAnsi="Times New Roman" w:cs="Times New Roman" w:eastAsia="Times New Roman"/>
          <w:color w:val="auto"/>
          <w:spacing w:val="0"/>
          <w:position w:val="0"/>
          <w:sz w:val="28"/>
          <w:shd w:fill="auto" w:val="clear"/>
        </w:rPr>
        <w:tab/>
        <w:t xml:space="preserve">153</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Wirkung schwacher elektromagnetischer Felder auf die Struktur</w:t>
        <w:tab/>
        <w:t xml:space="preserve">161</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Wirkung schwacher elektromagnetischer Felder</w:t>
        <w:br/>
        <w:t xml:space="preserve">auf biologische Objekte</w:t>
        <w:tab/>
        <w:t xml:space="preserve">164</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EHF-Therapie</w:t>
        <w:tab/>
        <w:t xml:space="preserve">176</w:t>
      </w:r>
    </w:p>
    <w:p>
      <w:pPr>
        <w:tabs>
          <w:tab w:val="right" w:pos="9356" w:leader="dot"/>
        </w:tabs>
        <w:spacing w:before="0" w:after="0" w:line="283"/>
        <w:ind w:right="0" w:left="0" w:hanging="490"/>
        <w:jc w:val="left"/>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4"/>
          <w:position w:val="0"/>
          <w:sz w:val="28"/>
          <w:shd w:fill="auto" w:val="clear"/>
        </w:rPr>
        <w:t xml:space="preserve">Schwache Wirkungen und Problem der Reproduzierbarkeit</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ab/>
        <w:t xml:space="preserve">der Ergebnisse</w:t>
      </w:r>
      <w:r>
        <w:rPr>
          <w:rFonts w:ascii="Times New Roman" w:hAnsi="Times New Roman" w:cs="Times New Roman" w:eastAsia="Times New Roman"/>
          <w:color w:val="auto"/>
          <w:spacing w:val="0"/>
          <w:position w:val="0"/>
          <w:sz w:val="28"/>
          <w:shd w:fill="auto" w:val="clear"/>
        </w:rPr>
        <w:tab/>
        <w:t xml:space="preserve">179</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Lichtwirkung</w:t>
        <w:tab/>
        <w:t xml:space="preserve">188</w:t>
      </w:r>
    </w:p>
    <w:p>
      <w:pPr>
        <w:tabs>
          <w:tab w:val="right" w:pos="9356" w:leader="dot"/>
        </w:tabs>
        <w:spacing w:before="0" w:after="0" w:line="283"/>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Literatur zu Kapitel 3</w:t>
        <w:tab/>
        <w:t xml:space="preserve">191</w:t>
      </w:r>
    </w:p>
    <w:p>
      <w:pPr>
        <w:tabs>
          <w:tab w:val="right" w:pos="9356" w:leader="dot"/>
        </w:tabs>
        <w:spacing w:before="0" w:after="0" w:line="288"/>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Kapitel 4. Allgemeine Vorstellungen über die Phototherapie</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Einführung in die Lichtbehandlung</w:t>
        <w:tab/>
        <w:t xml:space="preserve">200</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Phototherapie als Gegenstand</w:t>
        <w:tab/>
        <w:t xml:space="preserve">204</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Geschichtliche Einführung zur Lichtbehandlung</w:t>
        <w:tab/>
        <w:t xml:space="preserve">206</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Besondere Mission der Phototherapie in der Medizin</w:t>
        <w:tab/>
        <w:t xml:space="preserve">213</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Einfluss des Lichts auf das Leben auf der Erde</w:t>
        <w:tab/>
        <w:t xml:space="preserve">217</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4.5.1. Licht als physikalische Größe</w:t>
        <w:tab/>
        <w:t xml:space="preserve">217</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4.5.2. Photophysikalische, photochemische und biologische </w:t>
        <w:br/>
        <w:t xml:space="preserve">Wirkung des Lichts</w:t>
        <w:tab/>
        <w:t xml:space="preserve">227</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4.5.3. Durchdringungsfähigkeit des Lichts durch Gewebe,</w:t>
        <w:br/>
        <w:t xml:space="preserve">Photosynthese und Zellatmung</w:t>
        <w:tab/>
        <w:t xml:space="preserve">234</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Einfluss des Lichts auf Wachstum und Entwicklung von Pflanzen</w:t>
        <w:tab/>
        <w:t xml:space="preserve">245</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Einfluss des Lichts auf Bakterien und Viren</w:t>
        <w:tab/>
        <w:t xml:space="preserve">253</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4.7.1. Charakter der bakteriziden und antiviralen </w:t>
        <w:br/>
        <w:t xml:space="preserve">Wirkung des Lichts</w:t>
        <w:tab/>
        <w:t xml:space="preserve">260</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4.7.2. Wirkung des Lichts auf den Bakterien- und</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Virenkörper</w:t>
        <w:tab/>
        <w:t xml:space="preserve">262</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4.7.3. Einfluss des Lichts auf Toxine und Antitoxine</w:t>
        <w:tab/>
        <w:t xml:space="preserve">266</w:t>
      </w:r>
    </w:p>
    <w:p>
      <w:pPr>
        <w:tabs>
          <w:tab w:val="right" w:pos="9356" w:leader="dot"/>
        </w:tabs>
        <w:spacing w:before="0" w:after="0" w:line="288"/>
        <w:ind w:right="0" w:left="0" w:hanging="72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4.7.4. Wirkung des Lichts auf Schimmel- und Hefepilze </w:t>
        <w:br/>
        <w:t xml:space="preserve">und Infusorien</w:t>
        <w:tab/>
        <w:t xml:space="preserve">268</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Einfluss des Lichts auf den tierischen Organismus</w:t>
        <w:tab/>
        <w:t xml:space="preserve">269</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4.8.1. Einfluss des Lichts auf Tiere</w:t>
        <w:tab/>
        <w:t xml:space="preserve">274</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4.8.2. Einfluss des Lichts auf den Stoffwechsel</w:t>
        <w:tab/>
        <w:t xml:space="preserve">275</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4.8.3. Einfluss des Lichts auf die Entwicklung der Tiere</w:t>
        <w:tab/>
        <w:t xml:space="preserve">277</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4.8.4. Einfluss des Lichts auf höhere Tiere</w:t>
        <w:tab/>
        <w:t xml:space="preserve">279</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4.8.5. Einfluss des Lichts auf den Gasaustausch</w:t>
        <w:tab/>
        <w:t xml:space="preserve">281</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4.8.6. Einfluss des Lichts auf den Stickstoff- und</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Kohlenhydratmetabolismus</w:t>
        <w:tab/>
        <w:t xml:space="preserve">285</w:t>
      </w:r>
    </w:p>
    <w:p>
      <w:pPr>
        <w:tabs>
          <w:tab w:val="right" w:pos="9356" w:leader="dot"/>
        </w:tabs>
        <w:spacing w:before="0" w:after="0" w:line="288"/>
        <w:ind w:right="0" w:left="0" w:hanging="49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Wirkung des Lichts auf tierische Gewebe und Organe</w:t>
        <w:tab/>
        <w:t xml:space="preserve">288</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4.9.1. Wirkung des Lichts auf die Haut</w:t>
        <w:tab/>
        <w:t xml:space="preserve">291</w:t>
      </w:r>
    </w:p>
    <w:p>
      <w:pPr>
        <w:tabs>
          <w:tab w:val="right" w:pos="9356" w:leader="dot"/>
        </w:tabs>
        <w:spacing w:before="0" w:after="0" w:line="288"/>
        <w:ind w:right="0" w:left="0" w:hanging="7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4.9.2. Wirkung des Lichts auf die Augen</w:t>
        <w:tab/>
        <w:t xml:space="preserve">296</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Literatur zu Kapitel 4</w:t>
        <w:tab/>
        <w:t xml:space="preserve">………………………………………………………...302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